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3B2A" w14:textId="616E347D" w:rsidR="00F0482A" w:rsidRDefault="00A615C9">
      <w:bookmarkStart w:id="0" w:name="_GoBack"/>
      <w:bookmarkEnd w:id="0"/>
    </w:p>
    <w:p w14:paraId="5BE096B2" w14:textId="52020B19" w:rsidR="0089698F" w:rsidRDefault="0089698F"/>
    <w:p w14:paraId="33708F28" w14:textId="0030B98B" w:rsidR="0089698F" w:rsidRDefault="0089698F"/>
    <w:p w14:paraId="684AABF6" w14:textId="13B3EB7E" w:rsidR="0089698F" w:rsidRDefault="0089698F"/>
    <w:p w14:paraId="785DEA95" w14:textId="45FD3D9B" w:rsidR="0089698F" w:rsidRDefault="0089698F"/>
    <w:p w14:paraId="1F31374E" w14:textId="2AEF3237" w:rsidR="0089698F" w:rsidRPr="000D78EA" w:rsidRDefault="0089698F" w:rsidP="000D78EA">
      <w:pPr>
        <w:jc w:val="center"/>
        <w:rPr>
          <w:b/>
          <w:bCs/>
        </w:rPr>
      </w:pPr>
      <w:r w:rsidRPr="000D78EA">
        <w:rPr>
          <w:b/>
          <w:bCs/>
        </w:rPr>
        <w:t xml:space="preserve">CONVOCATORIA DOCENTE PARA LA COBERTURA DE CARGOS EN LA LICENCIATURA </w:t>
      </w:r>
      <w:r w:rsidR="00033C78" w:rsidRPr="000D78EA">
        <w:rPr>
          <w:b/>
          <w:bCs/>
        </w:rPr>
        <w:t>EN GESTION UNIVERSITARIA FCE DE LA UNRC</w:t>
      </w:r>
    </w:p>
    <w:p w14:paraId="3566341C" w14:textId="2CE9DEA1" w:rsidR="00033C78" w:rsidRDefault="00033C78"/>
    <w:p w14:paraId="230E92C4" w14:textId="54742DAC" w:rsidR="00033C78" w:rsidRDefault="00033C78" w:rsidP="009373D8">
      <w:pPr>
        <w:jc w:val="both"/>
      </w:pPr>
      <w:r>
        <w:t xml:space="preserve">La Secretaría Académica de la Facultad de Ciencias Económicas de la UNRC convoca, hasta el día jueves </w:t>
      </w:r>
      <w:r w:rsidR="00AD52C0">
        <w:t>17/12</w:t>
      </w:r>
      <w:r w:rsidR="006D7AE9">
        <w:t xml:space="preserve">/2022, a </w:t>
      </w:r>
      <w:r w:rsidR="002A4BA8">
        <w:t>quienes</w:t>
      </w:r>
      <w:r w:rsidR="006D7AE9">
        <w:t xml:space="preserve"> deseen desempeñarse como Profesores en la Carrera LICENCIATURA EN GESTIÓN UNIVERSITARIA</w:t>
      </w:r>
      <w:r w:rsidR="009373D8">
        <w:t>,</w:t>
      </w:r>
      <w:r w:rsidR="006D7AE9">
        <w:t xml:space="preserve"> en las asignaturas que a continuación se detallan, </w:t>
      </w:r>
    </w:p>
    <w:p w14:paraId="4D30ACDB" w14:textId="5F643E79" w:rsidR="00CA5958" w:rsidRDefault="00CA5958"/>
    <w:p w14:paraId="23BD9DE5" w14:textId="3C5F3049" w:rsidR="00CA5958" w:rsidRDefault="00CA5958"/>
    <w:tbl>
      <w:tblPr>
        <w:tblStyle w:val="Tablaconcuadrcula"/>
        <w:tblW w:w="0" w:type="auto"/>
        <w:tblLook w:val="04A0" w:firstRow="1" w:lastRow="0" w:firstColumn="1" w:lastColumn="0" w:noHBand="0" w:noVBand="1"/>
      </w:tblPr>
      <w:tblGrid>
        <w:gridCol w:w="1129"/>
        <w:gridCol w:w="5245"/>
        <w:gridCol w:w="2120"/>
      </w:tblGrid>
      <w:tr w:rsidR="00964787" w:rsidRPr="009373D8" w14:paraId="68ECB355" w14:textId="77777777" w:rsidTr="009373D8">
        <w:tc>
          <w:tcPr>
            <w:tcW w:w="8494" w:type="dxa"/>
            <w:gridSpan w:val="3"/>
            <w:shd w:val="clear" w:color="auto" w:fill="BDD6EE" w:themeFill="accent1" w:themeFillTint="66"/>
          </w:tcPr>
          <w:p w14:paraId="0560AD80" w14:textId="130BD8FA" w:rsidR="00964787" w:rsidRPr="009373D8" w:rsidRDefault="00964787" w:rsidP="009373D8">
            <w:pPr>
              <w:jc w:val="center"/>
              <w:rPr>
                <w:b/>
                <w:bCs/>
              </w:rPr>
            </w:pPr>
            <w:r w:rsidRPr="009373D8">
              <w:rPr>
                <w:b/>
                <w:bCs/>
              </w:rPr>
              <w:t>AÑO 1</w:t>
            </w:r>
          </w:p>
        </w:tc>
      </w:tr>
      <w:tr w:rsidR="00CA5958" w:rsidRPr="009373D8" w14:paraId="30FDBB50" w14:textId="77777777" w:rsidTr="009373D8">
        <w:tc>
          <w:tcPr>
            <w:tcW w:w="1129" w:type="dxa"/>
          </w:tcPr>
          <w:p w14:paraId="5BA8A7AF" w14:textId="514FBA0D" w:rsidR="00CA5958" w:rsidRPr="009373D8" w:rsidRDefault="00CA5958" w:rsidP="009373D8">
            <w:pPr>
              <w:jc w:val="center"/>
              <w:rPr>
                <w:b/>
                <w:bCs/>
              </w:rPr>
            </w:pPr>
            <w:r w:rsidRPr="009373D8">
              <w:rPr>
                <w:b/>
                <w:bCs/>
              </w:rPr>
              <w:t>Código</w:t>
            </w:r>
          </w:p>
        </w:tc>
        <w:tc>
          <w:tcPr>
            <w:tcW w:w="5245" w:type="dxa"/>
          </w:tcPr>
          <w:p w14:paraId="7035BC50" w14:textId="6DF55137" w:rsidR="00CA5958" w:rsidRPr="009373D8" w:rsidRDefault="00CA5958" w:rsidP="009373D8">
            <w:pPr>
              <w:jc w:val="center"/>
              <w:rPr>
                <w:b/>
                <w:bCs/>
              </w:rPr>
            </w:pPr>
            <w:r w:rsidRPr="009373D8">
              <w:rPr>
                <w:b/>
                <w:bCs/>
              </w:rPr>
              <w:t>Espacio Curricular</w:t>
            </w:r>
          </w:p>
        </w:tc>
        <w:tc>
          <w:tcPr>
            <w:tcW w:w="2120" w:type="dxa"/>
          </w:tcPr>
          <w:p w14:paraId="58863DCD" w14:textId="65A57A3D" w:rsidR="00CA5958" w:rsidRPr="009373D8" w:rsidRDefault="00CA5958" w:rsidP="009373D8">
            <w:pPr>
              <w:jc w:val="center"/>
              <w:rPr>
                <w:b/>
                <w:bCs/>
              </w:rPr>
            </w:pPr>
            <w:r w:rsidRPr="009373D8">
              <w:rPr>
                <w:b/>
                <w:bCs/>
              </w:rPr>
              <w:t>Duración</w:t>
            </w:r>
          </w:p>
        </w:tc>
      </w:tr>
      <w:tr w:rsidR="00AD52C0" w14:paraId="64377F28" w14:textId="77777777" w:rsidTr="00C75D7F">
        <w:tc>
          <w:tcPr>
            <w:tcW w:w="1129" w:type="dxa"/>
          </w:tcPr>
          <w:p w14:paraId="29886927" w14:textId="77777777" w:rsidR="00AD52C0" w:rsidRDefault="00AD52C0" w:rsidP="00C75D7F">
            <w:pPr>
              <w:jc w:val="center"/>
            </w:pPr>
            <w:r>
              <w:t>4</w:t>
            </w:r>
          </w:p>
        </w:tc>
        <w:tc>
          <w:tcPr>
            <w:tcW w:w="5245" w:type="dxa"/>
          </w:tcPr>
          <w:p w14:paraId="7136D74E" w14:textId="77777777" w:rsidR="00AD52C0" w:rsidRDefault="00AD52C0" w:rsidP="00C75D7F">
            <w:pPr>
              <w:widowControl w:val="0"/>
              <w:jc w:val="both"/>
            </w:pPr>
            <w:r w:rsidRPr="00AD52C0">
              <w:t>Técnicas cuantitativas</w:t>
            </w:r>
          </w:p>
        </w:tc>
        <w:tc>
          <w:tcPr>
            <w:tcW w:w="2120" w:type="dxa"/>
          </w:tcPr>
          <w:p w14:paraId="5FEEB8E1" w14:textId="77777777" w:rsidR="00AD52C0" w:rsidRDefault="00AD52C0" w:rsidP="00C75D7F">
            <w:pPr>
              <w:jc w:val="center"/>
            </w:pPr>
            <w:r>
              <w:t>Cuatrimestral</w:t>
            </w:r>
          </w:p>
        </w:tc>
      </w:tr>
      <w:tr w:rsidR="00CA5958" w14:paraId="47D76B03" w14:textId="77777777" w:rsidTr="009373D8">
        <w:tc>
          <w:tcPr>
            <w:tcW w:w="1129" w:type="dxa"/>
          </w:tcPr>
          <w:p w14:paraId="1107BDBD" w14:textId="32533DCD" w:rsidR="00CA5958" w:rsidRDefault="00AD52C0" w:rsidP="009373D8">
            <w:pPr>
              <w:jc w:val="center"/>
            </w:pPr>
            <w:r>
              <w:t>5</w:t>
            </w:r>
          </w:p>
        </w:tc>
        <w:tc>
          <w:tcPr>
            <w:tcW w:w="5245" w:type="dxa"/>
          </w:tcPr>
          <w:p w14:paraId="7106AEAF" w14:textId="0EB4CF14" w:rsidR="00CA5958" w:rsidRDefault="00AD52C0" w:rsidP="00964787">
            <w:pPr>
              <w:widowControl w:val="0"/>
              <w:jc w:val="both"/>
            </w:pPr>
            <w:r w:rsidRPr="00AD52C0">
              <w:t>Problemática Universitaria I</w:t>
            </w:r>
          </w:p>
        </w:tc>
        <w:tc>
          <w:tcPr>
            <w:tcW w:w="2120" w:type="dxa"/>
          </w:tcPr>
          <w:p w14:paraId="2868642A" w14:textId="627BE82E" w:rsidR="00CA5958" w:rsidRDefault="00964787" w:rsidP="009373D8">
            <w:pPr>
              <w:jc w:val="center"/>
            </w:pPr>
            <w:r>
              <w:t>Cuatrimestral</w:t>
            </w:r>
          </w:p>
        </w:tc>
      </w:tr>
      <w:tr w:rsidR="00CA5958" w14:paraId="227911BD" w14:textId="77777777" w:rsidTr="009373D8">
        <w:tc>
          <w:tcPr>
            <w:tcW w:w="1129" w:type="dxa"/>
          </w:tcPr>
          <w:p w14:paraId="2E311E12" w14:textId="6C5019FB" w:rsidR="00CA5958" w:rsidRDefault="00AD52C0" w:rsidP="009373D8">
            <w:pPr>
              <w:jc w:val="center"/>
            </w:pPr>
            <w:r>
              <w:t>6</w:t>
            </w:r>
          </w:p>
        </w:tc>
        <w:tc>
          <w:tcPr>
            <w:tcW w:w="5245" w:type="dxa"/>
          </w:tcPr>
          <w:p w14:paraId="2D5B530F" w14:textId="7F146C4C" w:rsidR="00CA5958" w:rsidRDefault="00AD52C0" w:rsidP="00964787">
            <w:pPr>
              <w:widowControl w:val="0"/>
              <w:jc w:val="both"/>
            </w:pPr>
            <w:r w:rsidRPr="00AD52C0">
              <w:t>Introducción a la Economía Argentina</w:t>
            </w:r>
          </w:p>
        </w:tc>
        <w:tc>
          <w:tcPr>
            <w:tcW w:w="2120" w:type="dxa"/>
          </w:tcPr>
          <w:p w14:paraId="238E3AF8" w14:textId="14E3F3E1" w:rsidR="00CA5958" w:rsidRDefault="00964787" w:rsidP="009373D8">
            <w:pPr>
              <w:jc w:val="center"/>
            </w:pPr>
            <w:r>
              <w:t>Cuatrimestral</w:t>
            </w:r>
          </w:p>
        </w:tc>
      </w:tr>
    </w:tbl>
    <w:p w14:paraId="2ACC2F0C" w14:textId="77777777" w:rsidR="00CA5958" w:rsidRDefault="00CA5958"/>
    <w:p w14:paraId="009F6F1F" w14:textId="0ED08223" w:rsidR="00B96718" w:rsidRDefault="00B96718"/>
    <w:p w14:paraId="701D3D7F" w14:textId="062C9B66" w:rsidR="00964787" w:rsidRDefault="00964787">
      <w:r>
        <w:t>Los contenidos mínimos de los espacios curriculares son los siguientes:</w:t>
      </w:r>
    </w:p>
    <w:p w14:paraId="78525D6F" w14:textId="0AD7732C" w:rsidR="00964787" w:rsidRDefault="00964787"/>
    <w:p w14:paraId="077ECADD" w14:textId="77777777" w:rsidR="00AD52C0" w:rsidRPr="00AD52C0" w:rsidRDefault="00AD52C0" w:rsidP="00AD52C0">
      <w:pPr>
        <w:widowControl w:val="0"/>
        <w:jc w:val="both"/>
        <w:rPr>
          <w:rFonts w:eastAsia="Arial"/>
          <w:b/>
          <w:shd w:val="clear" w:color="auto" w:fill="FFFFFF"/>
          <w:lang w:bidi="en-US"/>
        </w:rPr>
      </w:pPr>
      <w:r w:rsidRPr="00AD52C0">
        <w:rPr>
          <w:rFonts w:eastAsia="Arial"/>
          <w:b/>
          <w:shd w:val="clear" w:color="auto" w:fill="FFFFFF"/>
          <w:lang w:bidi="en-US"/>
        </w:rPr>
        <w:t>Técnicas Cuantitativas</w:t>
      </w:r>
    </w:p>
    <w:p w14:paraId="2639364F" w14:textId="77777777" w:rsidR="00AD52C0" w:rsidRPr="00AD52C0" w:rsidRDefault="00AD52C0" w:rsidP="00AD52C0">
      <w:pPr>
        <w:widowControl w:val="0"/>
        <w:jc w:val="both"/>
        <w:rPr>
          <w:rFonts w:eastAsia="Arial"/>
          <w:shd w:val="clear" w:color="auto" w:fill="FFFFFF"/>
          <w:lang w:bidi="en-US"/>
        </w:rPr>
      </w:pPr>
      <w:r w:rsidRPr="00AD52C0">
        <w:rPr>
          <w:rFonts w:eastAsia="Arial"/>
          <w:shd w:val="clear" w:color="auto" w:fill="FFFFFF"/>
          <w:lang w:bidi="en-US"/>
        </w:rPr>
        <w:t xml:space="preserve">Operación numérica básica: conjuntos numéricos, operaciones. Uso de la calculadora. Ecuaciones. Sistemas de Ecuaciones. Métodos de resolución. Inecuaciones. Sistemas de Inecuaciones. Funciones, coordenadas cartesianas, representación gráfica. Función lineal. Función cuadrática. Ecuaciones de segundo grado. </w:t>
      </w:r>
    </w:p>
    <w:p w14:paraId="7BE54D1C" w14:textId="77777777" w:rsidR="00AD52C0" w:rsidRPr="00AD52C0" w:rsidRDefault="00AD52C0" w:rsidP="00AD52C0">
      <w:pPr>
        <w:widowControl w:val="0"/>
        <w:jc w:val="both"/>
        <w:rPr>
          <w:rFonts w:eastAsia="Arial"/>
          <w:shd w:val="clear" w:color="auto" w:fill="FFFFFF"/>
          <w:lang w:bidi="en-US"/>
        </w:rPr>
      </w:pPr>
    </w:p>
    <w:p w14:paraId="26CC3844" w14:textId="77777777" w:rsidR="00AD52C0" w:rsidRPr="00AD52C0" w:rsidRDefault="00AD52C0" w:rsidP="00AD52C0">
      <w:pPr>
        <w:widowControl w:val="0"/>
        <w:jc w:val="both"/>
        <w:rPr>
          <w:rFonts w:eastAsia="Arial"/>
          <w:b/>
          <w:shd w:val="clear" w:color="auto" w:fill="FFFFFF"/>
          <w:lang w:bidi="en-US"/>
        </w:rPr>
      </w:pPr>
      <w:r w:rsidRPr="00AD52C0">
        <w:rPr>
          <w:rFonts w:eastAsia="Arial"/>
          <w:b/>
          <w:shd w:val="clear" w:color="auto" w:fill="FFFFFF"/>
          <w:lang w:bidi="en-US"/>
        </w:rPr>
        <w:t>Problemática Universitaria I</w:t>
      </w:r>
    </w:p>
    <w:p w14:paraId="03973D62" w14:textId="77777777" w:rsidR="00AD52C0" w:rsidRPr="00AD52C0" w:rsidRDefault="00AD52C0" w:rsidP="00AD52C0">
      <w:pPr>
        <w:widowControl w:val="0"/>
        <w:jc w:val="both"/>
        <w:rPr>
          <w:rFonts w:eastAsia="Arial"/>
          <w:shd w:val="clear" w:color="auto" w:fill="FFFFFF"/>
          <w:lang w:bidi="en-US"/>
        </w:rPr>
      </w:pPr>
      <w:r w:rsidRPr="00AD52C0">
        <w:rPr>
          <w:rFonts w:eastAsia="Arial"/>
          <w:shd w:val="clear" w:color="auto" w:fill="FFFFFF"/>
          <w:lang w:bidi="en-US"/>
        </w:rPr>
        <w:t xml:space="preserve">Marco histórico – político del sistema educativo. El sistema Educativo Nacional. La Educación Superior. La Universidad como institución social. La Universidad como organización compleja. Especificidad de la Universidad como institución centrada en el conocimiento: cultura organizacional, subculturas, actores y prácticas. Gobierno y coordinación del Sistema de Educación Superior, perspectiva histórica y presente: situación y principales debates. Participación de los distintos estamentos en la configuración y funcionamiento institucional. </w:t>
      </w:r>
    </w:p>
    <w:p w14:paraId="5C1A8050" w14:textId="77777777" w:rsidR="00AD52C0" w:rsidRPr="00AD52C0" w:rsidRDefault="00AD52C0" w:rsidP="00AD52C0">
      <w:pPr>
        <w:widowControl w:val="0"/>
        <w:jc w:val="both"/>
        <w:rPr>
          <w:rFonts w:eastAsia="Arial"/>
          <w:shd w:val="clear" w:color="auto" w:fill="FFFFFF"/>
          <w:lang w:bidi="en-US"/>
        </w:rPr>
      </w:pPr>
    </w:p>
    <w:p w14:paraId="7FB9613D" w14:textId="77777777" w:rsidR="00AD52C0" w:rsidRPr="00AD52C0" w:rsidRDefault="00AD52C0" w:rsidP="00AD52C0">
      <w:pPr>
        <w:widowControl w:val="0"/>
        <w:jc w:val="both"/>
        <w:rPr>
          <w:rFonts w:eastAsia="Arial"/>
          <w:b/>
          <w:shd w:val="clear" w:color="auto" w:fill="FFFFFF"/>
          <w:lang w:bidi="en-US"/>
        </w:rPr>
      </w:pPr>
      <w:r w:rsidRPr="00AD52C0">
        <w:rPr>
          <w:rFonts w:eastAsia="Arial"/>
          <w:b/>
          <w:shd w:val="clear" w:color="auto" w:fill="FFFFFF"/>
          <w:lang w:bidi="en-US"/>
        </w:rPr>
        <w:t>Introducción a la Economía Argentina</w:t>
      </w:r>
    </w:p>
    <w:p w14:paraId="05D45BBF" w14:textId="545ED54C" w:rsidR="00AD52C0" w:rsidRPr="00AD52C0" w:rsidRDefault="00AD52C0" w:rsidP="00AD52C0">
      <w:pPr>
        <w:widowControl w:val="0"/>
        <w:jc w:val="both"/>
        <w:rPr>
          <w:rFonts w:eastAsia="Arial"/>
          <w:shd w:val="clear" w:color="auto" w:fill="FFFFFF"/>
          <w:lang w:bidi="en-US"/>
        </w:rPr>
      </w:pPr>
      <w:r w:rsidRPr="00AD52C0">
        <w:rPr>
          <w:rFonts w:eastAsia="Arial"/>
          <w:shd w:val="clear" w:color="auto" w:fill="FFFFFF"/>
          <w:lang w:bidi="en-US"/>
        </w:rPr>
        <w:t xml:space="preserve">El desarrollo de la economía argentina en términos de los contextos socio políticos en el que se aplicaron los distintos modelos económicos. Incorporación de la Argentina al mercado. El Liberalismo. Modelo de crecimiento hacia afuera en Latinoamérica y en Argentina. La crisis de 1929 y sus consecuencias. El proceso de industrialización vía sustitución de importaciones. Los límites del modelo basado en capitales nacionales y la incorporación del capital extranjero. Los desequilibrios regionales. La crisis del sector externo y su vinculación con la actividad industrial. Los cambios en el contexto internacional en la década del ´70. El neoliberalismo. La globalización de la actividad económica. La aplicación del neoliberalismo en democracia: la década del ´90. La crisis 2001/2002. Decisiones macroeconómicas posteriores a la crisis. Alternativas a los modelos neoliberales. Perspectivas críticas. </w:t>
      </w:r>
    </w:p>
    <w:p w14:paraId="18AFAD20" w14:textId="77777777" w:rsidR="009373D8" w:rsidRDefault="009373D8" w:rsidP="00964787">
      <w:pPr>
        <w:rPr>
          <w:b/>
          <w:bCs/>
        </w:rPr>
      </w:pPr>
    </w:p>
    <w:p w14:paraId="0A27FBE2" w14:textId="77777777" w:rsidR="00280275" w:rsidRPr="00280275" w:rsidRDefault="00964787" w:rsidP="00280275">
      <w:pPr>
        <w:widowControl w:val="0"/>
        <w:spacing w:before="120"/>
        <w:jc w:val="both"/>
      </w:pPr>
      <w:r>
        <w:t xml:space="preserve">Los interesados deberán enviar un CV abreviado </w:t>
      </w:r>
      <w:r w:rsidR="00280275" w:rsidRPr="00280275">
        <w:t xml:space="preserve">con la selección de antecedentes vinculados con el área o asignatura a la que se aspira y fotocopia de su DNI. La presentación de antecedentes deberá ser realizada de manera personal e individual, no serán consideradas las presentaciones de equipos de trabajo. </w:t>
      </w:r>
    </w:p>
    <w:p w14:paraId="360179D0" w14:textId="506CF2C2" w:rsidR="00964787" w:rsidRDefault="00964787" w:rsidP="00964787">
      <w:pPr>
        <w:rPr>
          <w:rStyle w:val="Hipervnculo"/>
        </w:rPr>
      </w:pPr>
      <w:r>
        <w:t xml:space="preserve">a: </w:t>
      </w:r>
      <w:hyperlink r:id="rId6" w:history="1">
        <w:r w:rsidR="00AD52C0" w:rsidRPr="00871D56">
          <w:rPr>
            <w:rStyle w:val="Hipervnculo"/>
          </w:rPr>
          <w:t>academica@fce.unrc.edu.ar</w:t>
        </w:r>
      </w:hyperlink>
      <w:r w:rsidR="00AD52C0">
        <w:t xml:space="preserve"> </w:t>
      </w:r>
      <w:r w:rsidR="009373D8">
        <w:t xml:space="preserve">con copia a </w:t>
      </w:r>
      <w:hyperlink r:id="rId7" w:history="1">
        <w:r w:rsidR="009373D8" w:rsidRPr="009678BF">
          <w:rPr>
            <w:rStyle w:val="Hipervnculo"/>
          </w:rPr>
          <w:t>cecyf@ac.unrc.edu.ar</w:t>
        </w:r>
      </w:hyperlink>
    </w:p>
    <w:p w14:paraId="0ADCC67D" w14:textId="1EBD9DBC" w:rsidR="004249FA" w:rsidRDefault="004249FA" w:rsidP="004249FA">
      <w:pPr>
        <w:jc w:val="both"/>
      </w:pPr>
      <w:r w:rsidRPr="004249FA">
        <w:t>La evaluación estará a cargo de una Comisión Evaluadora, quien valorará los antecedentes y realizará, en caso que amerite, una entrevista con cada postulante con el propósito de conversar acerca de la propuesta pedagógica que se pretende implementar para el desarrollo de la asignatura.</w:t>
      </w:r>
    </w:p>
    <w:p w14:paraId="176AE7C7" w14:textId="77777777" w:rsidR="009373D8" w:rsidRDefault="009373D8" w:rsidP="00964787"/>
    <w:p w14:paraId="4715034D" w14:textId="52866B24" w:rsidR="009373D8" w:rsidRPr="00964787" w:rsidRDefault="009373D8" w:rsidP="00964787">
      <w:r>
        <w:t xml:space="preserve"> </w:t>
      </w:r>
    </w:p>
    <w:p w14:paraId="066A1E9A" w14:textId="77777777" w:rsidR="00964787" w:rsidRDefault="00964787"/>
    <w:p w14:paraId="07427C5A" w14:textId="1CA94EE8" w:rsidR="00B96718" w:rsidRDefault="00B96718"/>
    <w:p w14:paraId="027F5D3E" w14:textId="60DD32F4" w:rsidR="00B96718" w:rsidRDefault="00B96718"/>
    <w:p w14:paraId="20F8A09F" w14:textId="7D36AF67" w:rsidR="00FF66DE" w:rsidRDefault="00FF66DE"/>
    <w:sectPr w:rsidR="00FF66DE" w:rsidSect="00C6304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B536" w14:textId="77777777" w:rsidR="00A615C9" w:rsidRDefault="00A615C9" w:rsidP="00405BB3">
      <w:r>
        <w:separator/>
      </w:r>
    </w:p>
  </w:endnote>
  <w:endnote w:type="continuationSeparator" w:id="0">
    <w:p w14:paraId="0C8B00E8" w14:textId="77777777" w:rsidR="00A615C9" w:rsidRDefault="00A615C9" w:rsidP="0040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E89B" w14:textId="77777777" w:rsidR="00C6304A" w:rsidRDefault="00C6304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E44E" w14:textId="77777777" w:rsidR="00C6304A" w:rsidRDefault="00C6304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6894" w14:textId="77777777" w:rsidR="00C6304A" w:rsidRDefault="00C630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9FB5" w14:textId="77777777" w:rsidR="00A615C9" w:rsidRDefault="00A615C9" w:rsidP="00405BB3">
      <w:r>
        <w:separator/>
      </w:r>
    </w:p>
  </w:footnote>
  <w:footnote w:type="continuationSeparator" w:id="0">
    <w:p w14:paraId="56D6CB15" w14:textId="77777777" w:rsidR="00A615C9" w:rsidRDefault="00A615C9" w:rsidP="00405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3BDD" w14:textId="77777777" w:rsidR="00C6304A" w:rsidRDefault="00C630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83B2" w14:textId="77777777" w:rsidR="00405BB3" w:rsidRDefault="00A615C9">
    <w:pPr>
      <w:pStyle w:val="Encabezado"/>
    </w:pPr>
    <w:r>
      <w:rPr>
        <w:noProof/>
      </w:rPr>
      <w:object w:dxaOrig="1440" w:dyaOrig="1440" w14:anchorId="6BBBD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1.05pt;margin-top:-24.75pt;width:550.45pt;height:62.25pt;z-index:-251658752;mso-position-horizontal-relative:text;mso-position-vertical-relative:text">
          <v:imagedata r:id="rId1" o:title=""/>
        </v:shape>
        <o:OLEObject Type="Embed" ProgID="CorelDraw.Graphic.22" ShapeID="_x0000_s2051" DrawAspect="Content" ObjectID="_1731745491"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800D" w14:textId="77777777" w:rsidR="00C6304A" w:rsidRDefault="00C630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B3"/>
    <w:rsid w:val="00003C16"/>
    <w:rsid w:val="00033C78"/>
    <w:rsid w:val="000D78EA"/>
    <w:rsid w:val="00133A4D"/>
    <w:rsid w:val="00165360"/>
    <w:rsid w:val="002011E9"/>
    <w:rsid w:val="002674A5"/>
    <w:rsid w:val="00280275"/>
    <w:rsid w:val="002A4BA8"/>
    <w:rsid w:val="002B5083"/>
    <w:rsid w:val="002F52F6"/>
    <w:rsid w:val="0035527D"/>
    <w:rsid w:val="003D332C"/>
    <w:rsid w:val="00405BB3"/>
    <w:rsid w:val="00421D03"/>
    <w:rsid w:val="004249FA"/>
    <w:rsid w:val="004E5E11"/>
    <w:rsid w:val="00624925"/>
    <w:rsid w:val="00627605"/>
    <w:rsid w:val="006825D1"/>
    <w:rsid w:val="006D7AE9"/>
    <w:rsid w:val="00793DE5"/>
    <w:rsid w:val="0079463B"/>
    <w:rsid w:val="007A32E0"/>
    <w:rsid w:val="008054D5"/>
    <w:rsid w:val="008067E3"/>
    <w:rsid w:val="00814BB7"/>
    <w:rsid w:val="0089698F"/>
    <w:rsid w:val="009373D8"/>
    <w:rsid w:val="00964787"/>
    <w:rsid w:val="009B12F4"/>
    <w:rsid w:val="009F0420"/>
    <w:rsid w:val="00A615C9"/>
    <w:rsid w:val="00AD52C0"/>
    <w:rsid w:val="00B96718"/>
    <w:rsid w:val="00C46EBD"/>
    <w:rsid w:val="00C6304A"/>
    <w:rsid w:val="00C85B25"/>
    <w:rsid w:val="00C925E6"/>
    <w:rsid w:val="00CA5958"/>
    <w:rsid w:val="00DD4376"/>
    <w:rsid w:val="00DF14DD"/>
    <w:rsid w:val="00E50207"/>
    <w:rsid w:val="00E517A0"/>
    <w:rsid w:val="00F26057"/>
    <w:rsid w:val="00F4698F"/>
    <w:rsid w:val="00F715BA"/>
    <w:rsid w:val="00FF66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B7DF5"/>
  <w15:chartTrackingRefBased/>
  <w15:docId w15:val="{E0C9335A-4E6D-4826-864D-30E14053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BB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405BB3"/>
  </w:style>
  <w:style w:type="paragraph" w:styleId="Piedepgina">
    <w:name w:val="footer"/>
    <w:basedOn w:val="Normal"/>
    <w:link w:val="PiedepginaCar"/>
    <w:uiPriority w:val="99"/>
    <w:unhideWhenUsed/>
    <w:rsid w:val="00405BB3"/>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405BB3"/>
  </w:style>
  <w:style w:type="table" w:styleId="Tablaconcuadrcula">
    <w:name w:val="Table Grid"/>
    <w:basedOn w:val="Tablanormal"/>
    <w:uiPriority w:val="39"/>
    <w:rsid w:val="007A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65360"/>
    <w:rPr>
      <w:rFonts w:asciiTheme="minorHAnsi" w:eastAsiaTheme="minorHAnsi" w:hAnsiTheme="minorHAnsi" w:cstheme="minorBidi"/>
      <w:sz w:val="20"/>
      <w:szCs w:val="20"/>
      <w:lang w:val="es-AR" w:eastAsia="en-US"/>
    </w:rPr>
  </w:style>
  <w:style w:type="character" w:customStyle="1" w:styleId="TextonotapieCar">
    <w:name w:val="Texto nota pie Car"/>
    <w:basedOn w:val="Fuentedeprrafopredeter"/>
    <w:link w:val="Textonotapie"/>
    <w:uiPriority w:val="99"/>
    <w:semiHidden/>
    <w:rsid w:val="00165360"/>
    <w:rPr>
      <w:sz w:val="20"/>
      <w:szCs w:val="20"/>
    </w:rPr>
  </w:style>
  <w:style w:type="character" w:styleId="Refdenotaalpie">
    <w:name w:val="footnote reference"/>
    <w:basedOn w:val="Fuentedeprrafopredeter"/>
    <w:uiPriority w:val="99"/>
    <w:semiHidden/>
    <w:unhideWhenUsed/>
    <w:rsid w:val="00165360"/>
    <w:rPr>
      <w:vertAlign w:val="superscript"/>
    </w:rPr>
  </w:style>
  <w:style w:type="paragraph" w:styleId="NormalWeb">
    <w:name w:val="Normal (Web)"/>
    <w:basedOn w:val="Normal"/>
    <w:uiPriority w:val="99"/>
    <w:unhideWhenUsed/>
    <w:rsid w:val="009F0420"/>
    <w:pPr>
      <w:spacing w:before="100" w:beforeAutospacing="1" w:after="100" w:afterAutospacing="1"/>
    </w:pPr>
    <w:rPr>
      <w:lang w:val="es-AR" w:eastAsia="es-AR"/>
    </w:rPr>
  </w:style>
  <w:style w:type="character" w:styleId="Hipervnculo">
    <w:name w:val="Hyperlink"/>
    <w:basedOn w:val="Fuentedeprrafopredeter"/>
    <w:uiPriority w:val="99"/>
    <w:unhideWhenUsed/>
    <w:rsid w:val="009373D8"/>
    <w:rPr>
      <w:color w:val="0563C1" w:themeColor="hyperlink"/>
      <w:u w:val="single"/>
    </w:rPr>
  </w:style>
  <w:style w:type="character" w:customStyle="1" w:styleId="UnresolvedMention">
    <w:name w:val="Unresolved Mention"/>
    <w:basedOn w:val="Fuentedeprrafopredeter"/>
    <w:uiPriority w:val="99"/>
    <w:semiHidden/>
    <w:unhideWhenUsed/>
    <w:rsid w:val="0093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9328">
      <w:bodyDiv w:val="1"/>
      <w:marLeft w:val="0"/>
      <w:marRight w:val="0"/>
      <w:marTop w:val="0"/>
      <w:marBottom w:val="0"/>
      <w:divBdr>
        <w:top w:val="none" w:sz="0" w:space="0" w:color="auto"/>
        <w:left w:val="none" w:sz="0" w:space="0" w:color="auto"/>
        <w:bottom w:val="none" w:sz="0" w:space="0" w:color="auto"/>
        <w:right w:val="none" w:sz="0" w:space="0" w:color="auto"/>
      </w:divBdr>
    </w:div>
    <w:div w:id="1122723844">
      <w:bodyDiv w:val="1"/>
      <w:marLeft w:val="0"/>
      <w:marRight w:val="0"/>
      <w:marTop w:val="0"/>
      <w:marBottom w:val="0"/>
      <w:divBdr>
        <w:top w:val="none" w:sz="0" w:space="0" w:color="auto"/>
        <w:left w:val="none" w:sz="0" w:space="0" w:color="auto"/>
        <w:bottom w:val="none" w:sz="0" w:space="0" w:color="auto"/>
        <w:right w:val="none" w:sz="0" w:space="0" w:color="auto"/>
      </w:divBdr>
    </w:div>
    <w:div w:id="1266768704">
      <w:bodyDiv w:val="1"/>
      <w:marLeft w:val="0"/>
      <w:marRight w:val="0"/>
      <w:marTop w:val="0"/>
      <w:marBottom w:val="0"/>
      <w:divBdr>
        <w:top w:val="none" w:sz="0" w:space="0" w:color="auto"/>
        <w:left w:val="none" w:sz="0" w:space="0" w:color="auto"/>
        <w:bottom w:val="none" w:sz="0" w:space="0" w:color="auto"/>
        <w:right w:val="none" w:sz="0" w:space="0" w:color="auto"/>
      </w:divBdr>
    </w:div>
    <w:div w:id="1539925797">
      <w:bodyDiv w:val="1"/>
      <w:marLeft w:val="0"/>
      <w:marRight w:val="0"/>
      <w:marTop w:val="0"/>
      <w:marBottom w:val="0"/>
      <w:divBdr>
        <w:top w:val="none" w:sz="0" w:space="0" w:color="auto"/>
        <w:left w:val="none" w:sz="0" w:space="0" w:color="auto"/>
        <w:bottom w:val="none" w:sz="0" w:space="0" w:color="auto"/>
        <w:right w:val="none" w:sz="0" w:space="0" w:color="auto"/>
      </w:divBdr>
    </w:div>
    <w:div w:id="18237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ecyf@ac.unrc.edu.a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ademica@fce.unrc.edu.a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Comunicado Importante</cp:lastModifiedBy>
  <cp:revision>2</cp:revision>
  <cp:lastPrinted>2022-04-27T21:08:00Z</cp:lastPrinted>
  <dcterms:created xsi:type="dcterms:W3CDTF">2022-12-05T14:38:00Z</dcterms:created>
  <dcterms:modified xsi:type="dcterms:W3CDTF">2022-12-05T14:38:00Z</dcterms:modified>
</cp:coreProperties>
</file>